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87" w:rsidRPr="00563007" w:rsidRDefault="005B7D87" w:rsidP="00D40985">
      <w:pPr>
        <w:jc w:val="center"/>
        <w:rPr>
          <w:b/>
          <w:bCs/>
          <w:lang w:val="uk-UA"/>
        </w:rPr>
      </w:pPr>
    </w:p>
    <w:p w:rsidR="005B7D87" w:rsidRPr="00563007" w:rsidRDefault="005B7D87" w:rsidP="00D40985">
      <w:pPr>
        <w:jc w:val="center"/>
        <w:rPr>
          <w:b/>
          <w:bCs/>
          <w:lang w:val="uk-UA"/>
        </w:rPr>
      </w:pPr>
    </w:p>
    <w:p w:rsidR="005B7D87" w:rsidRPr="00836DD3" w:rsidRDefault="005B7D87" w:rsidP="00D40985">
      <w:pPr>
        <w:jc w:val="center"/>
        <w:rPr>
          <w:b/>
          <w:bCs/>
          <w:sz w:val="20"/>
          <w:szCs w:val="20"/>
          <w:lang w:val="uk-UA"/>
        </w:rPr>
      </w:pPr>
      <w:r w:rsidRPr="00836DD3">
        <w:rPr>
          <w:b/>
          <w:bCs/>
          <w:sz w:val="20"/>
          <w:szCs w:val="20"/>
          <w:lang w:val="uk-UA"/>
        </w:rPr>
        <w:t>Шановний акціонер!</w:t>
      </w:r>
    </w:p>
    <w:p w:rsidR="005B7D87" w:rsidRPr="00836DD3" w:rsidRDefault="005B7D87" w:rsidP="00A215D6">
      <w:pPr>
        <w:jc w:val="center"/>
        <w:rPr>
          <w:b/>
          <w:sz w:val="20"/>
          <w:szCs w:val="20"/>
          <w:lang w:val="uk-UA"/>
        </w:rPr>
      </w:pPr>
      <w:r>
        <w:rPr>
          <w:b/>
          <w:sz w:val="20"/>
          <w:szCs w:val="20"/>
          <w:lang w:val="uk-UA"/>
        </w:rPr>
        <w:t>19.03.2024   м.Київ.</w:t>
      </w:r>
    </w:p>
    <w:p w:rsidR="005B7D87" w:rsidRPr="00836DD3" w:rsidRDefault="005B7D87" w:rsidP="00D40985">
      <w:pPr>
        <w:jc w:val="both"/>
        <w:rPr>
          <w:sz w:val="20"/>
          <w:szCs w:val="20"/>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річних загальних зборів акціонерів Товариства (надалі – «Загал</w:t>
      </w:r>
      <w:r>
        <w:rPr>
          <w:sz w:val="20"/>
          <w:szCs w:val="20"/>
          <w:lang w:val="uk-UA"/>
        </w:rPr>
        <w:t>ьні збори»), які відбудуться _19_ квітня 2024</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p>
    <w:p w:rsidR="005B7D87" w:rsidRPr="00836DD3" w:rsidRDefault="005B7D87"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5B7D87" w:rsidRPr="00836DD3" w:rsidRDefault="005B7D87" w:rsidP="00D40985">
      <w:pPr>
        <w:jc w:val="both"/>
        <w:rPr>
          <w:sz w:val="20"/>
          <w:szCs w:val="20"/>
          <w:lang w:val="uk-UA"/>
        </w:rPr>
      </w:pPr>
      <w:r w:rsidRPr="00836DD3">
        <w:rPr>
          <w:sz w:val="20"/>
          <w:szCs w:val="20"/>
          <w:lang w:val="uk-UA"/>
        </w:rPr>
        <w:t>Дата складення переліку акціонерів, які мають право на участь у річних загальних зборах –</w:t>
      </w:r>
      <w:r>
        <w:rPr>
          <w:sz w:val="20"/>
          <w:szCs w:val="20"/>
        </w:rPr>
        <w:t xml:space="preserve">   </w:t>
      </w:r>
      <w:r>
        <w:rPr>
          <w:sz w:val="20"/>
          <w:szCs w:val="20"/>
          <w:lang w:val="uk-UA"/>
        </w:rPr>
        <w:t xml:space="preserve">на </w:t>
      </w:r>
      <w:r>
        <w:rPr>
          <w:sz w:val="20"/>
          <w:szCs w:val="20"/>
        </w:rPr>
        <w:t>19</w:t>
      </w:r>
      <w:r>
        <w:rPr>
          <w:sz w:val="20"/>
          <w:szCs w:val="20"/>
          <w:lang w:val="uk-UA"/>
        </w:rPr>
        <w:t>.</w:t>
      </w:r>
      <w:r>
        <w:rPr>
          <w:sz w:val="20"/>
          <w:szCs w:val="20"/>
        </w:rPr>
        <w:t>0</w:t>
      </w:r>
      <w:r>
        <w:rPr>
          <w:sz w:val="20"/>
          <w:szCs w:val="20"/>
          <w:lang w:val="uk-UA"/>
        </w:rPr>
        <w:t>4..</w:t>
      </w:r>
      <w:r>
        <w:rPr>
          <w:sz w:val="20"/>
          <w:szCs w:val="20"/>
        </w:rPr>
        <w:t>202</w:t>
      </w:r>
      <w:r>
        <w:rPr>
          <w:sz w:val="20"/>
          <w:szCs w:val="20"/>
          <w:lang w:val="uk-UA"/>
        </w:rPr>
        <w:t xml:space="preserve">4 </w:t>
      </w:r>
      <w:r w:rsidRPr="00836DD3">
        <w:rPr>
          <w:sz w:val="20"/>
          <w:szCs w:val="20"/>
          <w:lang w:val="uk-UA"/>
        </w:rPr>
        <w:t xml:space="preserve">року </w:t>
      </w:r>
      <w:r w:rsidRPr="00836DD3">
        <w:rPr>
          <w:b/>
          <w:sz w:val="20"/>
          <w:szCs w:val="20"/>
          <w:lang w:val="uk-UA"/>
        </w:rPr>
        <w:t xml:space="preserve">. </w:t>
      </w:r>
    </w:p>
    <w:p w:rsidR="005B7D87" w:rsidRPr="00836DD3" w:rsidRDefault="005B7D87"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5B7D87" w:rsidRPr="00836DD3" w:rsidRDefault="005B7D87"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5B7D87" w:rsidRPr="00836DD3" w:rsidRDefault="005B7D87"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5B7D87" w:rsidRPr="00836DD3" w:rsidRDefault="005B7D87"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5B7D87" w:rsidRDefault="005B7D87" w:rsidP="00A8227E">
      <w:pPr>
        <w:ind w:left="567"/>
        <w:jc w:val="both"/>
        <w:rPr>
          <w:sz w:val="20"/>
          <w:szCs w:val="20"/>
          <w:lang w:val="uk-UA" w:eastAsia="ar-SA"/>
        </w:rPr>
      </w:pPr>
      <w:r w:rsidRPr="00836DD3">
        <w:rPr>
          <w:sz w:val="20"/>
          <w:szCs w:val="20"/>
          <w:u w:val="single"/>
          <w:lang w:val="uk-UA" w:eastAsia="uk-UA"/>
        </w:rPr>
        <w:t>Проект рішення:</w:t>
      </w:r>
      <w:r w:rsidRPr="00836DD3">
        <w:rPr>
          <w:sz w:val="20"/>
          <w:szCs w:val="20"/>
          <w:lang w:val="uk-UA" w:eastAsia="uk-UA"/>
        </w:rPr>
        <w:t xml:space="preserve"> </w:t>
      </w:r>
      <w:r w:rsidRPr="00A8227E">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p>
    <w:p w:rsidR="005B7D87" w:rsidRDefault="005B7D87" w:rsidP="00A8227E">
      <w:pPr>
        <w:pStyle w:val="ListParagraph"/>
        <w:numPr>
          <w:ilvl w:val="0"/>
          <w:numId w:val="10"/>
        </w:numPr>
        <w:jc w:val="both"/>
        <w:rPr>
          <w:b/>
          <w:sz w:val="24"/>
          <w:szCs w:val="24"/>
          <w:lang w:val="ru-RU" w:eastAsia="ru-RU"/>
        </w:rPr>
      </w:pPr>
      <w:r w:rsidRPr="00A8227E">
        <w:rPr>
          <w:b/>
        </w:rPr>
        <w:t>Про обрання Голови та секретаря Загальних зборів акціонерів Товариства</w:t>
      </w:r>
      <w:r w:rsidRPr="00A8227E">
        <w:rPr>
          <w:b/>
          <w:sz w:val="24"/>
          <w:szCs w:val="24"/>
          <w:lang w:eastAsia="ru-RU"/>
        </w:rPr>
        <w:t>.</w:t>
      </w:r>
    </w:p>
    <w:p w:rsidR="005B7D87" w:rsidRPr="00A8227E" w:rsidRDefault="005B7D87" w:rsidP="00A8227E">
      <w:pPr>
        <w:pStyle w:val="ListParagraph"/>
        <w:ind w:left="567"/>
        <w:jc w:val="both"/>
        <w:rPr>
          <w:b/>
          <w:sz w:val="24"/>
          <w:szCs w:val="24"/>
          <w:lang w:val="ru-RU" w:eastAsia="ru-RU"/>
        </w:rPr>
      </w:pPr>
      <w:r w:rsidRPr="00836DD3">
        <w:rPr>
          <w:u w:val="single"/>
        </w:rPr>
        <w:t>Проект рішення:</w:t>
      </w:r>
      <w:r w:rsidRPr="00836DD3">
        <w:t xml:space="preserve"> </w:t>
      </w:r>
      <w:r w:rsidRPr="00A8227E">
        <w:rPr>
          <w:sz w:val="20"/>
          <w:szCs w:val="20"/>
          <w:lang w:eastAsia="ar-S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p>
    <w:p w:rsidR="005B7D87" w:rsidRPr="00A8227E" w:rsidRDefault="005B7D87" w:rsidP="00A8227E">
      <w:pPr>
        <w:pStyle w:val="ListParagraph"/>
        <w:numPr>
          <w:ilvl w:val="0"/>
          <w:numId w:val="10"/>
        </w:numPr>
        <w:jc w:val="both"/>
        <w:rPr>
          <w:b/>
        </w:rPr>
      </w:pPr>
      <w:r w:rsidRPr="00A8227E">
        <w:rPr>
          <w:b/>
        </w:rPr>
        <w:t>Про затвердження регламенту річних Загальних зборів акціонерів Товариства.</w:t>
      </w:r>
    </w:p>
    <w:p w:rsidR="005B7D87" w:rsidRPr="00EA5BCC" w:rsidRDefault="005B7D87"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5B7D87" w:rsidRPr="00EA5BCC" w:rsidRDefault="005B7D87"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5B7D87" w:rsidRPr="00EA5BCC" w:rsidRDefault="005B7D87"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5B7D87" w:rsidRPr="00A51A6A" w:rsidRDefault="005B7D87" w:rsidP="00A51A6A">
      <w:pPr>
        <w:pStyle w:val="ListParagraph"/>
        <w:numPr>
          <w:ilvl w:val="0"/>
          <w:numId w:val="11"/>
        </w:numPr>
        <w:jc w:val="both"/>
        <w:rPr>
          <w:rFonts w:ascii="Times New Roman" w:hAnsi="Times New Roman"/>
          <w:b/>
          <w:sz w:val="24"/>
          <w:szCs w:val="24"/>
          <w:lang w:eastAsia="ru-RU"/>
        </w:rPr>
      </w:pPr>
    </w:p>
    <w:p w:rsidR="005B7D87" w:rsidRPr="00A51A6A" w:rsidRDefault="005B7D87" w:rsidP="00A51A6A">
      <w:pPr>
        <w:pStyle w:val="ListParagraph"/>
        <w:numPr>
          <w:ilvl w:val="0"/>
          <w:numId w:val="10"/>
        </w:numPr>
        <w:jc w:val="both"/>
        <w:rPr>
          <w:b/>
        </w:rPr>
      </w:pPr>
      <w:r w:rsidRPr="00A51A6A">
        <w:rPr>
          <w:b/>
        </w:rPr>
        <w:t xml:space="preserve">  Розгляд та затвердження звітів ПАТ «Зімонт». Визначення основних напрям</w:t>
      </w:r>
      <w:r>
        <w:rPr>
          <w:b/>
        </w:rPr>
        <w:t>ів діяльності Товариства на 2024</w:t>
      </w:r>
      <w:r w:rsidRPr="00A51A6A">
        <w:rPr>
          <w:b/>
        </w:rPr>
        <w:t xml:space="preserve"> рік</w:t>
      </w:r>
    </w:p>
    <w:p w:rsidR="005B7D87" w:rsidRPr="00A51A6A" w:rsidRDefault="005B7D87" w:rsidP="00A51A6A">
      <w:pPr>
        <w:ind w:left="927"/>
        <w:jc w:val="both"/>
        <w:rPr>
          <w:sz w:val="20"/>
          <w:szCs w:val="20"/>
          <w:lang w:val="uk-UA" w:eastAsia="uk-UA"/>
        </w:rPr>
      </w:pPr>
      <w:r w:rsidRPr="00A51A6A">
        <w:rPr>
          <w:sz w:val="20"/>
          <w:szCs w:val="20"/>
          <w:lang w:val="uk-UA" w:eastAsia="uk-UA"/>
        </w:rPr>
        <w:t>5.1.- Розгляд звіту Директора про результати фінансово-господарсь</w:t>
      </w:r>
      <w:r>
        <w:rPr>
          <w:sz w:val="20"/>
          <w:szCs w:val="20"/>
          <w:lang w:val="uk-UA" w:eastAsia="uk-UA"/>
        </w:rPr>
        <w:t>кої діяльності Товариства у 2023</w:t>
      </w:r>
      <w:r w:rsidRPr="00A51A6A">
        <w:rPr>
          <w:sz w:val="20"/>
          <w:szCs w:val="20"/>
          <w:lang w:val="uk-UA" w:eastAsia="uk-UA"/>
        </w:rPr>
        <w:t xml:space="preserve"> році. Прийняття рішення за наслідками розгляду звіту Директора. Визначення основних напрям</w:t>
      </w:r>
      <w:r>
        <w:rPr>
          <w:sz w:val="20"/>
          <w:szCs w:val="20"/>
          <w:lang w:val="uk-UA" w:eastAsia="uk-UA"/>
        </w:rPr>
        <w:t>ків діяльності Товариства на 2024</w:t>
      </w:r>
      <w:r w:rsidRPr="00A51A6A">
        <w:rPr>
          <w:sz w:val="20"/>
          <w:szCs w:val="20"/>
          <w:lang w:val="uk-UA" w:eastAsia="uk-UA"/>
        </w:rPr>
        <w:t xml:space="preserve"> рік.</w:t>
      </w:r>
    </w:p>
    <w:p w:rsidR="005B7D87" w:rsidRPr="00A51A6A" w:rsidRDefault="005B7D87"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 Прийняти до уваги та затвердити з</w:t>
      </w:r>
      <w:r>
        <w:rPr>
          <w:sz w:val="20"/>
          <w:szCs w:val="20"/>
          <w:lang w:val="uk-UA" w:eastAsia="uk-UA"/>
        </w:rPr>
        <w:t>віт Директора Товариства за 2023</w:t>
      </w:r>
      <w:r w:rsidRPr="00A51A6A">
        <w:rPr>
          <w:sz w:val="20"/>
          <w:szCs w:val="20"/>
          <w:lang w:val="uk-UA" w:eastAsia="uk-UA"/>
        </w:rPr>
        <w:t xml:space="preserve"> рік. Визнати роботу Директора</w:t>
      </w:r>
      <w:r>
        <w:rPr>
          <w:sz w:val="20"/>
          <w:szCs w:val="20"/>
          <w:lang w:val="uk-UA" w:eastAsia="uk-UA"/>
        </w:rPr>
        <w:t xml:space="preserve"> Товариства за результатами 2023</w:t>
      </w:r>
      <w:r w:rsidRPr="00A51A6A">
        <w:rPr>
          <w:sz w:val="20"/>
          <w:szCs w:val="20"/>
          <w:lang w:val="uk-UA" w:eastAsia="uk-UA"/>
        </w:rPr>
        <w:t xml:space="preserve"> року задовільною. Затвердити основні напря</w:t>
      </w:r>
      <w:r>
        <w:rPr>
          <w:sz w:val="20"/>
          <w:szCs w:val="20"/>
          <w:lang w:val="uk-UA" w:eastAsia="uk-UA"/>
        </w:rPr>
        <w:t>ми діяльності Товариства на 2024</w:t>
      </w:r>
      <w:r w:rsidRPr="00A51A6A">
        <w:rPr>
          <w:sz w:val="20"/>
          <w:szCs w:val="20"/>
          <w:lang w:val="uk-UA" w:eastAsia="uk-UA"/>
        </w:rPr>
        <w:t xml:space="preserve"> рік.</w:t>
      </w:r>
    </w:p>
    <w:p w:rsidR="005B7D87" w:rsidRPr="00A51A6A" w:rsidRDefault="005B7D87" w:rsidP="00A51A6A">
      <w:pPr>
        <w:pStyle w:val="BodyTextIndent"/>
        <w:overflowPunct/>
        <w:autoSpaceDE/>
        <w:autoSpaceDN/>
        <w:rPr>
          <w:sz w:val="20"/>
          <w:szCs w:val="20"/>
          <w:lang w:val="uk-UA" w:eastAsia="uk-UA"/>
        </w:rPr>
      </w:pPr>
      <w:r w:rsidRPr="00A51A6A">
        <w:rPr>
          <w:sz w:val="20"/>
          <w:szCs w:val="20"/>
          <w:lang w:val="uk-UA" w:eastAsia="uk-UA"/>
        </w:rPr>
        <w:t xml:space="preserve">    5.2.- Розгляд звіту На</w:t>
      </w:r>
      <w:r>
        <w:rPr>
          <w:sz w:val="20"/>
          <w:szCs w:val="20"/>
          <w:lang w:val="uk-UA" w:eastAsia="uk-UA"/>
        </w:rPr>
        <w:t>глядової ради Товариства за 2023</w:t>
      </w:r>
      <w:r w:rsidRPr="00A51A6A">
        <w:rPr>
          <w:sz w:val="20"/>
          <w:szCs w:val="20"/>
          <w:lang w:val="uk-UA" w:eastAsia="uk-UA"/>
        </w:rPr>
        <w:t xml:space="preserve"> рік. Прийняття рішення за наслідками розгляду звіту Наглядової ради.</w:t>
      </w:r>
    </w:p>
    <w:p w:rsidR="005B7D87" w:rsidRDefault="005B7D87"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w:t>
      </w:r>
      <w:r>
        <w:rPr>
          <w:sz w:val="20"/>
          <w:szCs w:val="20"/>
          <w:lang w:val="uk-UA" w:eastAsia="uk-UA"/>
        </w:rPr>
        <w:t xml:space="preserve"> </w:t>
      </w:r>
      <w:r w:rsidRPr="00A51A6A">
        <w:rPr>
          <w:sz w:val="20"/>
          <w:szCs w:val="20"/>
          <w:lang w:val="uk-UA" w:eastAsia="uk-UA"/>
        </w:rPr>
        <w:t>Прийняти до уваги та затвердити звіт На</w:t>
      </w:r>
      <w:r>
        <w:rPr>
          <w:sz w:val="20"/>
          <w:szCs w:val="20"/>
          <w:lang w:val="uk-UA" w:eastAsia="uk-UA"/>
        </w:rPr>
        <w:t>глядової ради Товариства за 2023</w:t>
      </w:r>
      <w:r w:rsidRPr="00A51A6A">
        <w:rPr>
          <w:sz w:val="20"/>
          <w:szCs w:val="20"/>
          <w:lang w:val="uk-UA" w:eastAsia="uk-UA"/>
        </w:rPr>
        <w:t xml:space="preserve"> рік. Затвердити рішення, прийняті Наглядово</w:t>
      </w:r>
      <w:r>
        <w:rPr>
          <w:sz w:val="20"/>
          <w:szCs w:val="20"/>
          <w:lang w:val="uk-UA" w:eastAsia="uk-UA"/>
        </w:rPr>
        <w:t>ю радою Товариства протягом 2023</w:t>
      </w:r>
      <w:r w:rsidRPr="00A51A6A">
        <w:rPr>
          <w:sz w:val="20"/>
          <w:szCs w:val="20"/>
          <w:lang w:val="uk-UA" w:eastAsia="uk-UA"/>
        </w:rPr>
        <w:t xml:space="preserve"> року. Визнати роботу Наглядової ради</w:t>
      </w:r>
      <w:r>
        <w:rPr>
          <w:sz w:val="20"/>
          <w:szCs w:val="20"/>
          <w:lang w:val="uk-UA" w:eastAsia="uk-UA"/>
        </w:rPr>
        <w:t xml:space="preserve"> Товариства за результатами 2023</w:t>
      </w:r>
      <w:r w:rsidRPr="00A51A6A">
        <w:rPr>
          <w:sz w:val="20"/>
          <w:szCs w:val="20"/>
          <w:lang w:val="uk-UA" w:eastAsia="uk-UA"/>
        </w:rPr>
        <w:t xml:space="preserve"> року задовільною</w:t>
      </w:r>
    </w:p>
    <w:p w:rsidR="005B7D87" w:rsidRPr="00A51A6A" w:rsidRDefault="005B7D87" w:rsidP="00A51A6A">
      <w:pPr>
        <w:pStyle w:val="BodyTextIndent"/>
        <w:overflowPunct/>
        <w:autoSpaceDE/>
        <w:autoSpaceDN/>
        <w:rPr>
          <w:sz w:val="20"/>
          <w:szCs w:val="20"/>
          <w:lang w:val="uk-UA" w:eastAsia="uk-UA"/>
        </w:rPr>
      </w:pPr>
      <w:r w:rsidRPr="00A51A6A">
        <w:rPr>
          <w:sz w:val="20"/>
          <w:szCs w:val="20"/>
          <w:lang w:val="uk-UA" w:eastAsia="uk-UA"/>
        </w:rPr>
        <w:t>5.3.- Затвердження: річного звіту, балансу, звіту</w:t>
      </w:r>
      <w:r>
        <w:rPr>
          <w:sz w:val="20"/>
          <w:szCs w:val="20"/>
          <w:lang w:val="uk-UA" w:eastAsia="uk-UA"/>
        </w:rPr>
        <w:t xml:space="preserve"> про фінансові результати за 2023</w:t>
      </w:r>
      <w:r w:rsidRPr="00A51A6A">
        <w:rPr>
          <w:sz w:val="20"/>
          <w:szCs w:val="20"/>
          <w:lang w:val="uk-UA" w:eastAsia="uk-UA"/>
        </w:rPr>
        <w:t xml:space="preserve"> рік.</w:t>
      </w:r>
    </w:p>
    <w:p w:rsidR="005B7D87" w:rsidRPr="00A51A6A" w:rsidRDefault="005B7D87" w:rsidP="00A51A6A">
      <w:pPr>
        <w:jc w:val="both"/>
        <w:rPr>
          <w:sz w:val="20"/>
          <w:szCs w:val="20"/>
          <w:lang w:val="uk-UA" w:eastAsia="uk-UA"/>
        </w:rPr>
      </w:pPr>
      <w:r w:rsidRPr="00EA5BCC">
        <w:rPr>
          <w:sz w:val="20"/>
          <w:szCs w:val="20"/>
          <w:u w:val="single"/>
          <w:lang w:val="uk-UA" w:eastAsia="uk-UA"/>
        </w:rPr>
        <w:t>Проект рішень</w:t>
      </w:r>
      <w:r w:rsidRPr="007B4476">
        <w:rPr>
          <w:b/>
          <w:lang w:val="uk-UA"/>
        </w:rPr>
        <w:t xml:space="preserve"> </w:t>
      </w:r>
      <w:r>
        <w:rPr>
          <w:b/>
          <w:lang w:val="uk-UA"/>
        </w:rPr>
        <w:t xml:space="preserve">: </w:t>
      </w:r>
      <w:r w:rsidRPr="00A51A6A">
        <w:rPr>
          <w:sz w:val="20"/>
          <w:szCs w:val="20"/>
          <w:lang w:val="uk-UA" w:eastAsia="uk-UA"/>
        </w:rPr>
        <w:t>Затвердити річні результати діяльності Товариства, річний звіт Товариства, баланс, звіт про фінансові результати та інш</w:t>
      </w:r>
      <w:r>
        <w:rPr>
          <w:sz w:val="20"/>
          <w:szCs w:val="20"/>
          <w:lang w:val="uk-UA" w:eastAsia="uk-UA"/>
        </w:rPr>
        <w:t>і форми річної звітності за 2023</w:t>
      </w:r>
      <w:r w:rsidRPr="00A51A6A">
        <w:rPr>
          <w:sz w:val="20"/>
          <w:szCs w:val="20"/>
          <w:lang w:val="uk-UA" w:eastAsia="uk-UA"/>
        </w:rPr>
        <w:t xml:space="preserve"> рік.</w:t>
      </w:r>
    </w:p>
    <w:p w:rsidR="005B7D87" w:rsidRPr="00A51A6A" w:rsidRDefault="005B7D87" w:rsidP="00A51A6A">
      <w:pPr>
        <w:pStyle w:val="BodyTextIndent"/>
        <w:overflowPunct/>
        <w:autoSpaceDE/>
        <w:autoSpaceDN/>
        <w:ind w:firstLine="0"/>
        <w:rPr>
          <w:sz w:val="20"/>
          <w:szCs w:val="20"/>
          <w:lang w:val="uk-UA" w:eastAsia="uk-UA"/>
        </w:rPr>
      </w:pPr>
    </w:p>
    <w:p w:rsidR="005B7D87" w:rsidRPr="00A51A6A" w:rsidRDefault="005B7D87" w:rsidP="00A51A6A">
      <w:pPr>
        <w:pStyle w:val="BodyTextIndent"/>
        <w:overflowPunct/>
        <w:autoSpaceDE/>
        <w:autoSpaceDN/>
        <w:ind w:firstLine="0"/>
        <w:rPr>
          <w:sz w:val="20"/>
          <w:szCs w:val="20"/>
          <w:u w:val="single"/>
          <w:lang w:val="uk-UA" w:eastAsia="uk-UA"/>
        </w:rPr>
      </w:pPr>
    </w:p>
    <w:p w:rsidR="005B7D87" w:rsidRPr="00A51A6A" w:rsidRDefault="005B7D87" w:rsidP="00A51A6A">
      <w:pPr>
        <w:numPr>
          <w:ilvl w:val="0"/>
          <w:numId w:val="10"/>
        </w:numPr>
        <w:jc w:val="both"/>
        <w:rPr>
          <w:b/>
          <w:sz w:val="20"/>
          <w:szCs w:val="20"/>
          <w:lang w:val="uk-UA" w:eastAsia="uk-UA"/>
        </w:rPr>
      </w:pPr>
      <w:r w:rsidRPr="00A51A6A">
        <w:rPr>
          <w:b/>
          <w:sz w:val="20"/>
          <w:szCs w:val="20"/>
          <w:lang w:val="uk-UA" w:eastAsia="uk-UA"/>
        </w:rPr>
        <w:t>По</w:t>
      </w:r>
      <w:r>
        <w:rPr>
          <w:b/>
          <w:sz w:val="20"/>
          <w:szCs w:val="20"/>
          <w:lang w:val="uk-UA" w:eastAsia="uk-UA"/>
        </w:rPr>
        <w:t>рядок виплати дивідендів за 2023</w:t>
      </w:r>
      <w:r w:rsidRPr="00A51A6A">
        <w:rPr>
          <w:b/>
          <w:sz w:val="20"/>
          <w:szCs w:val="20"/>
          <w:lang w:val="uk-UA" w:eastAsia="uk-UA"/>
        </w:rPr>
        <w:t xml:space="preserve"> рік .</w:t>
      </w:r>
    </w:p>
    <w:p w:rsidR="005B7D87" w:rsidRPr="00A51A6A" w:rsidRDefault="005B7D87" w:rsidP="00A51A6A">
      <w:pPr>
        <w:ind w:left="927"/>
        <w:jc w:val="both"/>
        <w:rPr>
          <w:b/>
          <w:sz w:val="20"/>
          <w:szCs w:val="20"/>
          <w:lang w:val="uk-UA" w:eastAsia="uk-UA"/>
        </w:rPr>
      </w:pPr>
      <w:r w:rsidRPr="00A51A6A">
        <w:rPr>
          <w:b/>
          <w:sz w:val="20"/>
          <w:szCs w:val="20"/>
          <w:lang w:val="uk-UA" w:eastAsia="uk-UA"/>
        </w:rPr>
        <w:t>Про розподіл прибутку та покриття збитків Товариства за результатами фінансово-господарської діяльності Товариства у 202</w:t>
      </w:r>
      <w:r>
        <w:rPr>
          <w:b/>
          <w:sz w:val="20"/>
          <w:szCs w:val="20"/>
          <w:lang w:val="uk-UA" w:eastAsia="uk-UA"/>
        </w:rPr>
        <w:t>3</w:t>
      </w:r>
      <w:r w:rsidRPr="00A51A6A">
        <w:rPr>
          <w:b/>
          <w:sz w:val="20"/>
          <w:szCs w:val="20"/>
          <w:lang w:val="uk-UA" w:eastAsia="uk-UA"/>
        </w:rPr>
        <w:t xml:space="preserve"> році.</w:t>
      </w:r>
    </w:p>
    <w:p w:rsidR="005B7D87" w:rsidRPr="00A51A6A" w:rsidRDefault="005B7D87" w:rsidP="00A51A6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2C5165">
        <w:rPr>
          <w:b/>
          <w:lang w:val="uk-UA"/>
        </w:rPr>
        <w:t>:</w:t>
      </w:r>
      <w:r>
        <w:rPr>
          <w:b/>
          <w:lang w:val="uk-UA"/>
        </w:rPr>
        <w:t xml:space="preserve">   </w:t>
      </w:r>
      <w:r w:rsidRPr="00A51A6A">
        <w:rPr>
          <w:sz w:val="20"/>
          <w:szCs w:val="20"/>
          <w:lang w:val="uk-UA" w:eastAsia="uk-UA"/>
        </w:rPr>
        <w:t>Нарахуван</w:t>
      </w:r>
      <w:r>
        <w:rPr>
          <w:sz w:val="20"/>
          <w:szCs w:val="20"/>
          <w:lang w:val="uk-UA" w:eastAsia="uk-UA"/>
        </w:rPr>
        <w:t>ня та виплату дивідендів за 2023</w:t>
      </w:r>
      <w:r w:rsidRPr="00A51A6A">
        <w:rPr>
          <w:sz w:val="20"/>
          <w:szCs w:val="20"/>
          <w:lang w:val="uk-UA" w:eastAsia="uk-UA"/>
        </w:rPr>
        <w:t xml:space="preserve"> рік не проводити в зв’язку з відсутністю прибутку</w:t>
      </w:r>
    </w:p>
    <w:p w:rsidR="005B7D87" w:rsidRPr="00A51A6A" w:rsidRDefault="005B7D87" w:rsidP="00A51A6A">
      <w:pPr>
        <w:numPr>
          <w:ilvl w:val="0"/>
          <w:numId w:val="10"/>
        </w:numPr>
        <w:jc w:val="both"/>
        <w:rPr>
          <w:b/>
          <w:sz w:val="20"/>
          <w:szCs w:val="20"/>
          <w:lang w:val="uk-UA" w:eastAsia="uk-UA"/>
        </w:rPr>
      </w:pPr>
      <w:r w:rsidRPr="00A51A6A">
        <w:rPr>
          <w:b/>
          <w:sz w:val="20"/>
          <w:szCs w:val="20"/>
          <w:lang w:val="uk-UA" w:eastAsia="uk-UA"/>
        </w:rPr>
        <w:t>Про затвердження значних правочинів, що вчи</w:t>
      </w:r>
      <w:r>
        <w:rPr>
          <w:b/>
          <w:sz w:val="20"/>
          <w:szCs w:val="20"/>
          <w:lang w:val="uk-UA" w:eastAsia="uk-UA"/>
        </w:rPr>
        <w:t>нялися Товариством протягом 2023</w:t>
      </w:r>
      <w:r w:rsidRPr="00A51A6A">
        <w:rPr>
          <w:b/>
          <w:sz w:val="20"/>
          <w:szCs w:val="20"/>
          <w:lang w:val="uk-UA" w:eastAsia="uk-UA"/>
        </w:rPr>
        <w:t xml:space="preserve"> року.</w:t>
      </w:r>
    </w:p>
    <w:p w:rsidR="005B7D87" w:rsidRPr="002F4490" w:rsidRDefault="005B7D87" w:rsidP="00A51A6A">
      <w:pPr>
        <w:ind w:left="72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Затвердити значні правочини, що вчи</w:t>
      </w:r>
      <w:r>
        <w:rPr>
          <w:sz w:val="20"/>
          <w:szCs w:val="20"/>
          <w:lang w:val="uk-UA" w:eastAsia="uk-UA"/>
        </w:rPr>
        <w:t xml:space="preserve">нялися Товариством протягом 2023 </w:t>
      </w:r>
      <w:r w:rsidRPr="002F4490">
        <w:rPr>
          <w:sz w:val="20"/>
          <w:szCs w:val="20"/>
          <w:lang w:val="uk-UA" w:eastAsia="uk-UA"/>
        </w:rPr>
        <w:t>року.</w:t>
      </w:r>
    </w:p>
    <w:p w:rsidR="005B7D87" w:rsidRPr="002F4490" w:rsidRDefault="005B7D87" w:rsidP="002F4490">
      <w:pPr>
        <w:numPr>
          <w:ilvl w:val="0"/>
          <w:numId w:val="10"/>
        </w:numPr>
        <w:jc w:val="both"/>
        <w:rPr>
          <w:b/>
          <w:sz w:val="20"/>
          <w:szCs w:val="20"/>
          <w:lang w:val="uk-UA" w:eastAsia="uk-UA"/>
        </w:rPr>
      </w:pPr>
      <w:r w:rsidRPr="002F4490">
        <w:rPr>
          <w:b/>
          <w:sz w:val="20"/>
          <w:szCs w:val="20"/>
          <w:lang w:val="uk-UA" w:eastAsia="uk-UA"/>
        </w:rPr>
        <w:t>Затвердження договорів та значних правочинів Товариства, що укладатимуться в процесі господарської діяль</w:t>
      </w:r>
      <w:r>
        <w:rPr>
          <w:b/>
          <w:sz w:val="20"/>
          <w:szCs w:val="20"/>
          <w:lang w:val="uk-UA" w:eastAsia="uk-UA"/>
        </w:rPr>
        <w:t>ності Товариства протягом 2024</w:t>
      </w:r>
      <w:r w:rsidRPr="002F4490">
        <w:rPr>
          <w:b/>
          <w:sz w:val="20"/>
          <w:szCs w:val="20"/>
          <w:lang w:val="uk-UA" w:eastAsia="uk-UA"/>
        </w:rPr>
        <w:t>року.</w:t>
      </w:r>
    </w:p>
    <w:p w:rsidR="005B7D87" w:rsidRPr="002F4490" w:rsidRDefault="005B7D87" w:rsidP="002F4490">
      <w:pPr>
        <w:widowControl w:val="0"/>
        <w:autoSpaceDE w:val="0"/>
        <w:autoSpaceDN w:val="0"/>
        <w:adjustRightInd w:val="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Pr>
          <w:sz w:val="20"/>
          <w:szCs w:val="20"/>
          <w:lang w:val="uk-UA" w:eastAsia="uk-UA"/>
        </w:rPr>
        <w:t>з 21.04.2024</w:t>
      </w:r>
      <w:r w:rsidRPr="002F4490">
        <w:rPr>
          <w:sz w:val="20"/>
          <w:szCs w:val="20"/>
          <w:lang w:val="uk-UA" w:eastAsia="uk-UA"/>
        </w:rPr>
        <w:t xml:space="preserve"> року Попередньо затвердити договори та значні правочини Товариства, що укладатимуться в процесі господарської ді</w:t>
      </w:r>
      <w:r>
        <w:rPr>
          <w:sz w:val="20"/>
          <w:szCs w:val="20"/>
          <w:lang w:val="uk-UA" w:eastAsia="uk-UA"/>
        </w:rPr>
        <w:t>яльності Товариства протягом 2024</w:t>
      </w:r>
      <w:r w:rsidRPr="002F4490">
        <w:rPr>
          <w:sz w:val="20"/>
          <w:szCs w:val="20"/>
          <w:lang w:val="uk-UA" w:eastAsia="uk-UA"/>
        </w:rPr>
        <w:t xml:space="preserve"> року. Надати  Директору право підпису цих договорів.</w:t>
      </w:r>
    </w:p>
    <w:p w:rsidR="005B7D87" w:rsidRPr="002F4490" w:rsidRDefault="005B7D87" w:rsidP="002F4490">
      <w:pPr>
        <w:pStyle w:val="ListParagraph"/>
        <w:numPr>
          <w:ilvl w:val="0"/>
          <w:numId w:val="10"/>
        </w:numPr>
        <w:suppressAutoHyphens/>
        <w:jc w:val="both"/>
        <w:rPr>
          <w:rFonts w:ascii="Times New Roman" w:hAnsi="Times New Roman"/>
          <w:b/>
          <w:sz w:val="20"/>
          <w:szCs w:val="20"/>
          <w:lang w:eastAsia="uk-UA"/>
        </w:rPr>
      </w:pPr>
      <w:r w:rsidRPr="002F4490">
        <w:rPr>
          <w:rFonts w:ascii="Times New Roman" w:hAnsi="Times New Roman"/>
          <w:b/>
          <w:sz w:val="20"/>
          <w:szCs w:val="20"/>
          <w:lang w:eastAsia="uk-UA"/>
        </w:rPr>
        <w:t>Прийняття рішення про</w:t>
      </w:r>
      <w:r w:rsidRPr="008212D8">
        <w:rPr>
          <w:rFonts w:ascii="Times New Roman" w:hAnsi="Times New Roman"/>
          <w:b/>
          <w:sz w:val="20"/>
          <w:szCs w:val="20"/>
          <w:lang w:eastAsia="uk-UA"/>
        </w:rPr>
        <w:t xml:space="preserve"> </w:t>
      </w:r>
      <w:r w:rsidRPr="002F4490">
        <w:rPr>
          <w:rFonts w:ascii="Times New Roman" w:hAnsi="Times New Roman"/>
          <w:b/>
          <w:sz w:val="20"/>
          <w:szCs w:val="20"/>
          <w:lang w:eastAsia="uk-UA"/>
        </w:rPr>
        <w:t>підтвердження,</w:t>
      </w:r>
      <w:r w:rsidRPr="00836DD3">
        <w:rPr>
          <w:rFonts w:ascii="Times New Roman" w:hAnsi="Times New Roman"/>
          <w:b/>
          <w:sz w:val="20"/>
          <w:szCs w:val="20"/>
          <w:lang w:eastAsia="uk-UA"/>
        </w:rPr>
        <w:t xml:space="preserve"> </w:t>
      </w:r>
      <w:r w:rsidRPr="002F4490">
        <w:rPr>
          <w:rFonts w:ascii="Times New Roman" w:hAnsi="Times New Roman"/>
          <w:b/>
          <w:sz w:val="20"/>
          <w:szCs w:val="20"/>
          <w:lang w:eastAsia="uk-UA"/>
        </w:rPr>
        <w:t xml:space="preserve"> обрання, подовження та припинення  повноважень  посадових осіб.</w:t>
      </w:r>
    </w:p>
    <w:p w:rsidR="005B7D87" w:rsidRDefault="005B7D87"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5B7D87" w:rsidRPr="002F4490" w:rsidRDefault="005B7D87"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  </w:t>
      </w:r>
      <w:r w:rsidRPr="00BA6AFF">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директора ПАТ «Зімонт»   з 21,04,2023р до 20  квітня 2026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5B7D87" w:rsidRPr="00836DD3" w:rsidRDefault="005B7D87" w:rsidP="00003908">
      <w:pPr>
        <w:pStyle w:val="ListParagraph"/>
        <w:suppressAutoHyphens/>
        <w:spacing w:after="0" w:line="240" w:lineRule="auto"/>
        <w:ind w:left="927"/>
        <w:jc w:val="both"/>
        <w:rPr>
          <w:rFonts w:ascii="Times New Roman" w:hAnsi="Times New Roman"/>
          <w:sz w:val="20"/>
          <w:szCs w:val="20"/>
          <w:lang w:eastAsia="uk-UA"/>
        </w:rPr>
      </w:pPr>
    </w:p>
    <w:p w:rsidR="005B7D87" w:rsidRPr="002F4490" w:rsidRDefault="005B7D87"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9.2 - </w:t>
      </w:r>
      <w:r w:rsidRPr="00BA6AFF">
        <w:rPr>
          <w:rFonts w:ascii="Times New Roman" w:hAnsi="Times New Roman"/>
          <w:sz w:val="20"/>
          <w:szCs w:val="20"/>
          <w:lang w:eastAsia="uk-UA"/>
        </w:rPr>
        <w:t>Підтвердити</w:t>
      </w:r>
      <w:r w:rsidRPr="002F4490">
        <w:rPr>
          <w:rFonts w:ascii="Times New Roman" w:hAnsi="Times New Roman"/>
          <w:sz w:val="20"/>
          <w:szCs w:val="20"/>
          <w:lang w:eastAsia="uk-UA"/>
        </w:rPr>
        <w:t xml:space="preserve">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з 21.04.2023 до  20  квітня 2026 року. </w:t>
      </w:r>
    </w:p>
    <w:p w:rsidR="005B7D87" w:rsidRPr="00836DD3" w:rsidRDefault="005B7D87"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5B7D87" w:rsidRPr="002F4490" w:rsidRDefault="005B7D87" w:rsidP="002F4490">
      <w:pPr>
        <w:ind w:left="480"/>
        <w:rPr>
          <w:sz w:val="20"/>
          <w:szCs w:val="20"/>
          <w:lang w:val="uk-UA" w:eastAsia="uk-UA"/>
        </w:rPr>
      </w:pPr>
      <w:r w:rsidRPr="00370E1F">
        <w:rPr>
          <w:b/>
          <w:lang w:val="uk-UA"/>
        </w:rPr>
        <w:t xml:space="preserve"> </w:t>
      </w:r>
      <w:r>
        <w:rPr>
          <w:b/>
          <w:lang w:val="uk-UA"/>
        </w:rPr>
        <w:t xml:space="preserve">    </w:t>
      </w:r>
      <w:r w:rsidRPr="002F4490">
        <w:rPr>
          <w:sz w:val="20"/>
          <w:szCs w:val="20"/>
          <w:lang w:val="uk-UA" w:eastAsia="uk-UA"/>
        </w:rPr>
        <w:t xml:space="preserve">9.3 -   Підтвердити </w:t>
      </w:r>
      <w:r>
        <w:rPr>
          <w:sz w:val="20"/>
          <w:szCs w:val="20"/>
          <w:lang w:val="uk-UA" w:eastAsia="uk-UA"/>
        </w:rPr>
        <w:t xml:space="preserve"> </w:t>
      </w:r>
      <w:r w:rsidRPr="002F4490">
        <w:rPr>
          <w:sz w:val="20"/>
          <w:szCs w:val="20"/>
          <w:lang w:val="uk-UA" w:eastAsia="uk-UA"/>
        </w:rPr>
        <w:t xml:space="preserve">повноваження Президента ПАТ «Зімонт» Зубовича      Миколи Петровича як Президента ПАТ «Зімонт» до 20 квітня 2028 року. </w:t>
      </w:r>
    </w:p>
    <w:p w:rsidR="005B7D87" w:rsidRPr="00836DD3" w:rsidRDefault="005B7D87" w:rsidP="00195228">
      <w:pPr>
        <w:ind w:left="480"/>
        <w:rPr>
          <w:sz w:val="20"/>
          <w:szCs w:val="20"/>
          <w:lang w:val="uk-UA"/>
        </w:rPr>
      </w:pPr>
      <w:r w:rsidRPr="00836DD3">
        <w:rPr>
          <w:sz w:val="20"/>
          <w:szCs w:val="20"/>
          <w:lang w:val="uk-UA"/>
        </w:rPr>
        <w:t xml:space="preserve">. </w:t>
      </w:r>
    </w:p>
    <w:p w:rsidR="005B7D87" w:rsidRDefault="005B7D87"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Підтвердити повноваження Зубовича М.П. як Голови Правління ПАТ «Зімонт». </w:t>
      </w:r>
      <w:r>
        <w:rPr>
          <w:sz w:val="20"/>
          <w:szCs w:val="20"/>
          <w:lang w:val="uk-UA" w:eastAsia="uk-UA"/>
        </w:rPr>
        <w:t xml:space="preserve"> </w:t>
      </w:r>
    </w:p>
    <w:p w:rsidR="005B7D87" w:rsidRDefault="005B7D87"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Підтвердити всі повновноваження згідно Статуту  з 21.04.2023 року до  20 квітня </w:t>
      </w:r>
      <w:r>
        <w:rPr>
          <w:sz w:val="20"/>
          <w:szCs w:val="20"/>
          <w:lang w:val="uk-UA" w:eastAsia="uk-UA"/>
        </w:rPr>
        <w:t xml:space="preserve"> </w:t>
      </w:r>
    </w:p>
    <w:p w:rsidR="005B7D87" w:rsidRDefault="005B7D87" w:rsidP="009A255A">
      <w:pPr>
        <w:jc w:val="both"/>
        <w:rPr>
          <w:b/>
          <w:sz w:val="20"/>
          <w:szCs w:val="20"/>
          <w:lang w:val="uk-UA"/>
        </w:rPr>
      </w:pPr>
      <w:r>
        <w:rPr>
          <w:sz w:val="20"/>
          <w:szCs w:val="20"/>
          <w:lang w:val="uk-UA" w:eastAsia="uk-UA"/>
        </w:rPr>
        <w:t xml:space="preserve">           </w:t>
      </w:r>
      <w:r w:rsidRPr="002F4490">
        <w:rPr>
          <w:sz w:val="20"/>
          <w:szCs w:val="20"/>
          <w:lang w:val="uk-UA" w:eastAsia="uk-UA"/>
        </w:rPr>
        <w:t>2028 року</w:t>
      </w:r>
      <w:r w:rsidRPr="00836DD3">
        <w:rPr>
          <w:b/>
          <w:sz w:val="20"/>
          <w:szCs w:val="20"/>
          <w:lang w:val="uk-UA"/>
        </w:rPr>
        <w:t xml:space="preserve">      </w:t>
      </w:r>
    </w:p>
    <w:p w:rsidR="005B7D87" w:rsidRPr="00370E1F" w:rsidRDefault="005B7D87" w:rsidP="002F4490">
      <w:pPr>
        <w:jc w:val="both"/>
        <w:rPr>
          <w:b/>
          <w:lang w:val="uk-UA"/>
        </w:rPr>
      </w:pPr>
      <w:r w:rsidRPr="002F4490">
        <w:rPr>
          <w:sz w:val="20"/>
          <w:szCs w:val="20"/>
          <w:lang w:val="uk-UA" w:eastAsia="uk-UA"/>
        </w:rPr>
        <w:t xml:space="preserve">              9.5 – Підтвердити повноваження</w:t>
      </w:r>
      <w:r>
        <w:rPr>
          <w:sz w:val="20"/>
          <w:szCs w:val="20"/>
          <w:lang w:val="uk-UA" w:eastAsia="uk-UA"/>
        </w:rPr>
        <w:t xml:space="preserve">  Хуторної Світлани Григоріївни</w:t>
      </w:r>
      <w:r w:rsidRPr="002F4490">
        <w:rPr>
          <w:sz w:val="20"/>
          <w:szCs w:val="20"/>
          <w:lang w:val="uk-UA" w:eastAsia="uk-UA"/>
        </w:rPr>
        <w:t xml:space="preserve">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на три роки, тобто до 20 квітня 2026 року</w:t>
      </w:r>
      <w:r w:rsidRPr="00370E1F">
        <w:rPr>
          <w:b/>
          <w:lang w:val="uk-UA"/>
        </w:rPr>
        <w:t>.</w:t>
      </w:r>
      <w:r>
        <w:rPr>
          <w:b/>
          <w:lang w:val="uk-UA"/>
        </w:rPr>
        <w:t xml:space="preserve"> </w:t>
      </w:r>
    </w:p>
    <w:p w:rsidR="005B7D87" w:rsidRPr="00836DD3" w:rsidRDefault="005B7D87"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5B7D87" w:rsidRPr="00836DD3" w:rsidRDefault="005B7D87" w:rsidP="00D43D93">
      <w:pPr>
        <w:jc w:val="both"/>
        <w:rPr>
          <w:sz w:val="20"/>
          <w:szCs w:val="20"/>
          <w:lang w:val="uk-UA" w:eastAsia="uk-UA"/>
        </w:rPr>
      </w:pPr>
    </w:p>
    <w:p w:rsidR="005B7D87" w:rsidRDefault="005B7D87" w:rsidP="003C53E0">
      <w:pPr>
        <w:rPr>
          <w:sz w:val="20"/>
          <w:szCs w:val="20"/>
          <w:lang w:val="uk-UA" w:eastAsia="uk-UA"/>
        </w:rPr>
      </w:pPr>
    </w:p>
    <w:p w:rsidR="005B7D87" w:rsidRPr="002F4490" w:rsidRDefault="005B7D87"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10.  Розгляд питання про зміну організаційно-правової   форми  підприємства  та підготування необхідних документів ,  згідно Законів України.</w:t>
      </w:r>
    </w:p>
    <w:p w:rsidR="005B7D87" w:rsidRPr="002F4490" w:rsidRDefault="005B7D87" w:rsidP="002F4490">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 при необхідності.</w:t>
      </w:r>
    </w:p>
    <w:p w:rsidR="005B7D87" w:rsidRPr="00836DD3" w:rsidRDefault="005B7D87" w:rsidP="00195228">
      <w:pPr>
        <w:rPr>
          <w:sz w:val="20"/>
          <w:szCs w:val="20"/>
          <w:lang w:val="uk-UA" w:eastAsia="uk-UA"/>
        </w:rPr>
      </w:pPr>
      <w:r w:rsidRPr="00836DD3">
        <w:rPr>
          <w:sz w:val="20"/>
          <w:szCs w:val="20"/>
          <w:lang w:val="uk-UA" w:eastAsia="uk-UA"/>
        </w:rPr>
        <w:t xml:space="preserve">       </w:t>
      </w:r>
    </w:p>
    <w:p w:rsidR="005B7D87" w:rsidRPr="00836DD3" w:rsidRDefault="005B7D87"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5B7D87" w:rsidRPr="00836DD3" w:rsidRDefault="005B7D87" w:rsidP="00DB298F">
      <w:pPr>
        <w:ind w:firstLine="708"/>
        <w:jc w:val="both"/>
        <w:rPr>
          <w:sz w:val="20"/>
          <w:szCs w:val="20"/>
          <w:lang w:val="uk-UA"/>
        </w:rPr>
      </w:pPr>
    </w:p>
    <w:p w:rsidR="005B7D87" w:rsidRPr="00836DD3" w:rsidRDefault="005B7D87"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19.04.2024рік</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5B7D87" w:rsidRPr="00836DD3" w:rsidRDefault="005B7D87" w:rsidP="00DB298F">
      <w:pPr>
        <w:contextualSpacing/>
        <w:jc w:val="both"/>
        <w:rPr>
          <w:sz w:val="20"/>
          <w:szCs w:val="20"/>
          <w:shd w:val="clear" w:color="auto" w:fill="FFFFFF"/>
          <w:lang w:val="uk-UA"/>
        </w:rPr>
      </w:pPr>
    </w:p>
    <w:p w:rsidR="005B7D87" w:rsidRPr="00836DD3" w:rsidRDefault="005B7D87"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19.04.2024рік</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5B7D87" w:rsidRPr="00836DD3" w:rsidRDefault="005B7D87"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5B7D87" w:rsidRPr="00836DD3" w:rsidRDefault="005B7D87"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5B7D87" w:rsidRPr="00836DD3" w:rsidRDefault="005B7D87"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5B7D87" w:rsidRPr="00836DD3" w:rsidRDefault="005B7D87" w:rsidP="00DB298F">
      <w:pPr>
        <w:pStyle w:val="NormalWeb"/>
        <w:spacing w:before="0" w:beforeAutospacing="0" w:after="0" w:afterAutospacing="0"/>
        <w:ind w:firstLine="0"/>
        <w:jc w:val="both"/>
        <w:outlineLvl w:val="0"/>
        <w:rPr>
          <w:sz w:val="20"/>
          <w:szCs w:val="20"/>
          <w:lang w:val="uk-UA"/>
        </w:rPr>
      </w:pPr>
    </w:p>
    <w:p w:rsidR="005B7D87" w:rsidRPr="00836DD3" w:rsidRDefault="005B7D87"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sidRPr="00836DD3">
        <w:rPr>
          <w:sz w:val="20"/>
          <w:szCs w:val="20"/>
          <w:lang w:val="uk-UA"/>
        </w:rPr>
        <w:t xml:space="preserve">починаючи </w:t>
      </w:r>
      <w:r>
        <w:rPr>
          <w:sz w:val="20"/>
          <w:szCs w:val="20"/>
          <w:lang w:val="uk-UA"/>
        </w:rPr>
        <w:t xml:space="preserve"> </w:t>
      </w:r>
      <w:r w:rsidRPr="00836DD3">
        <w:rPr>
          <w:sz w:val="20"/>
          <w:szCs w:val="20"/>
          <w:lang w:val="uk-UA"/>
        </w:rPr>
        <w:t>з</w:t>
      </w:r>
      <w:r>
        <w:rPr>
          <w:sz w:val="20"/>
          <w:szCs w:val="20"/>
          <w:lang w:val="uk-UA"/>
        </w:rPr>
        <w:t xml:space="preserve"> 19</w:t>
      </w:r>
      <w:r w:rsidRPr="00836DD3">
        <w:rPr>
          <w:sz w:val="20"/>
          <w:szCs w:val="20"/>
          <w:lang w:val="uk-UA"/>
        </w:rPr>
        <w:t xml:space="preserve"> березня  по </w:t>
      </w:r>
      <w:r>
        <w:rPr>
          <w:sz w:val="20"/>
          <w:szCs w:val="20"/>
          <w:lang w:val="uk-UA"/>
        </w:rPr>
        <w:t>19</w:t>
      </w:r>
      <w:r w:rsidRPr="00836DD3">
        <w:rPr>
          <w:sz w:val="20"/>
          <w:szCs w:val="20"/>
          <w:lang w:val="uk-UA"/>
        </w:rPr>
        <w:t xml:space="preserve"> к</w:t>
      </w:r>
      <w:r>
        <w:rPr>
          <w:sz w:val="20"/>
          <w:szCs w:val="20"/>
          <w:lang w:val="uk-UA"/>
        </w:rPr>
        <w:t>вітня  2024</w:t>
      </w:r>
      <w:r w:rsidRPr="00836DD3">
        <w:rPr>
          <w:sz w:val="20"/>
          <w:szCs w:val="20"/>
          <w:lang w:val="uk-UA"/>
        </w:rPr>
        <w:t xml:space="preserve"> року  в  робочі дні:  понеділок – п’ятниця  з 12:00 до 13:00,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5B7D87" w:rsidRPr="00836DD3" w:rsidRDefault="005B7D87"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5B7D87" w:rsidRPr="00836DD3" w:rsidRDefault="005B7D87" w:rsidP="00DB298F">
      <w:pPr>
        <w:ind w:firstLine="708"/>
        <w:jc w:val="both"/>
        <w:rPr>
          <w:sz w:val="20"/>
          <w:szCs w:val="20"/>
          <w:lang w:val="uk-UA"/>
        </w:rPr>
      </w:pPr>
      <w:r w:rsidRPr="00836DD3">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5B7D87" w:rsidRPr="00836DD3" w:rsidRDefault="005B7D87" w:rsidP="00DB298F">
      <w:pPr>
        <w:ind w:firstLine="708"/>
        <w:jc w:val="both"/>
        <w:rPr>
          <w:sz w:val="20"/>
          <w:szCs w:val="20"/>
          <w:lang w:val="uk-UA"/>
        </w:rPr>
      </w:pPr>
      <w:r w:rsidRPr="00836DD3">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5B7D87" w:rsidRPr="00836DD3" w:rsidRDefault="005B7D87" w:rsidP="00DB298F">
      <w:pPr>
        <w:ind w:firstLine="708"/>
        <w:jc w:val="both"/>
        <w:rPr>
          <w:sz w:val="20"/>
          <w:szCs w:val="20"/>
          <w:lang w:val="uk-UA"/>
        </w:rPr>
      </w:pPr>
      <w:r w:rsidRPr="00836DD3">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5B7D87" w:rsidRPr="00836DD3" w:rsidRDefault="005B7D87" w:rsidP="00DB298F">
      <w:pPr>
        <w:ind w:firstLine="708"/>
        <w:jc w:val="both"/>
        <w:rPr>
          <w:sz w:val="20"/>
          <w:szCs w:val="20"/>
          <w:lang w:val="uk-UA"/>
        </w:rPr>
      </w:pPr>
      <w:r w:rsidRPr="00836DD3">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5B7D87" w:rsidRPr="00836DD3" w:rsidRDefault="005B7D87" w:rsidP="00DB298F">
      <w:pPr>
        <w:ind w:firstLine="708"/>
        <w:jc w:val="both"/>
        <w:rPr>
          <w:sz w:val="20"/>
          <w:szCs w:val="20"/>
          <w:lang w:val="uk-UA"/>
        </w:rPr>
      </w:pPr>
      <w:r w:rsidRPr="00836DD3">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5B7D87" w:rsidRPr="00836DD3" w:rsidRDefault="005B7D87" w:rsidP="00DB298F">
      <w:pPr>
        <w:ind w:firstLine="708"/>
        <w:jc w:val="both"/>
        <w:rPr>
          <w:sz w:val="20"/>
          <w:szCs w:val="20"/>
          <w:lang w:val="uk-UA"/>
        </w:rPr>
      </w:pPr>
      <w:r w:rsidRPr="00836DD3">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5B7D87" w:rsidRPr="00836DD3" w:rsidRDefault="005B7D87" w:rsidP="00DB298F">
      <w:pPr>
        <w:ind w:firstLine="708"/>
        <w:jc w:val="both"/>
        <w:rPr>
          <w:sz w:val="20"/>
          <w:szCs w:val="20"/>
          <w:lang w:val="uk-UA"/>
        </w:rPr>
      </w:pPr>
      <w:r w:rsidRPr="00836DD3">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5B7D87" w:rsidRPr="00836DD3" w:rsidRDefault="005B7D87" w:rsidP="00DB298F">
      <w:pPr>
        <w:ind w:firstLine="708"/>
        <w:jc w:val="both"/>
        <w:rPr>
          <w:sz w:val="20"/>
          <w:szCs w:val="20"/>
          <w:lang w:val="uk-UA"/>
        </w:rPr>
      </w:pPr>
      <w:r w:rsidRPr="00836DD3">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5B7D87" w:rsidRPr="00836DD3" w:rsidRDefault="005B7D87" w:rsidP="00DB298F">
      <w:pPr>
        <w:ind w:firstLine="708"/>
        <w:jc w:val="both"/>
        <w:rPr>
          <w:sz w:val="20"/>
          <w:szCs w:val="20"/>
          <w:lang w:val="uk-UA"/>
        </w:rPr>
      </w:pPr>
      <w:r w:rsidRPr="00836DD3">
        <w:rPr>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5B7D87" w:rsidRPr="00836DD3" w:rsidRDefault="005B7D87" w:rsidP="00DA1583">
      <w:pPr>
        <w:pStyle w:val="NormalWeb"/>
        <w:spacing w:before="120" w:after="60"/>
        <w:ind w:firstLine="0"/>
        <w:jc w:val="center"/>
        <w:outlineLvl w:val="0"/>
        <w:rPr>
          <w:bCs/>
          <w:sz w:val="20"/>
          <w:lang w:val="uk-UA"/>
        </w:rPr>
      </w:pPr>
      <w:r w:rsidRPr="00836DD3">
        <w:rPr>
          <w:bCs/>
          <w:sz w:val="20"/>
          <w:lang w:val="uk-UA"/>
        </w:rPr>
        <w:t>Основнi показники фiнансово-господарської діяльності пiдприємства (тис.грн.):</w:t>
      </w:r>
      <w:bookmarkStart w:id="0" w:name="_GoBack"/>
      <w:bookmarkEnd w:id="0"/>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5B7D87"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5B7D87" w:rsidRPr="00836DD3" w:rsidRDefault="005B7D87" w:rsidP="00C8218E">
            <w:pPr>
              <w:spacing w:before="100" w:beforeAutospacing="1" w:after="100" w:afterAutospacing="1"/>
              <w:jc w:val="center"/>
              <w:rPr>
                <w:sz w:val="20"/>
                <w:lang w:val="uk-UA"/>
              </w:rPr>
            </w:pPr>
            <w:r w:rsidRPr="00836DD3">
              <w:rPr>
                <w:sz w:val="20"/>
                <w:lang w:val="uk-UA"/>
              </w:rPr>
              <w:t>Період</w:t>
            </w:r>
          </w:p>
        </w:tc>
      </w:tr>
      <w:tr w:rsidR="005B7D87"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5B7D87" w:rsidRPr="00836DD3" w:rsidRDefault="005B7D87"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5B7D87" w:rsidRPr="00836DD3" w:rsidRDefault="005B7D87" w:rsidP="00C8218E">
            <w:pPr>
              <w:spacing w:before="100" w:beforeAutospacing="1" w:after="100" w:afterAutospacing="1"/>
              <w:jc w:val="center"/>
              <w:rPr>
                <w:sz w:val="20"/>
                <w:lang w:val="uk-UA"/>
              </w:rPr>
            </w:pPr>
            <w:r w:rsidRPr="00836DD3">
              <w:rPr>
                <w:sz w:val="20"/>
                <w:lang w:val="uk-UA"/>
              </w:rPr>
              <w:t>попередній</w:t>
            </w:r>
          </w:p>
        </w:tc>
      </w:tr>
      <w:tr w:rsidR="005B7D87"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24,6</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23,9</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0,7</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(80,1)</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5B7D87" w:rsidRPr="00836DD3" w:rsidRDefault="005B7D87" w:rsidP="00057486">
            <w:pPr>
              <w:jc w:val="center"/>
              <w:rPr>
                <w:sz w:val="20"/>
                <w:lang w:val="uk-UA"/>
              </w:rPr>
            </w:pPr>
            <w:r w:rsidRPr="00836DD3">
              <w:rPr>
                <w:sz w:val="20"/>
                <w:lang w:val="uk-UA"/>
              </w:rPr>
              <w:t>(38,5)</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41,6</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63,1</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0</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en-US"/>
              </w:rPr>
            </w:pPr>
            <w:r w:rsidRPr="00836DD3">
              <w:rPr>
                <w:sz w:val="20"/>
                <w:lang w:val="uk-UA"/>
              </w:rPr>
              <w:t>4161</w:t>
            </w:r>
          </w:p>
        </w:tc>
      </w:tr>
      <w:tr w:rsidR="005B7D87" w:rsidRPr="00836DD3" w:rsidTr="00AD12B9">
        <w:trPr>
          <w:tblCellSpacing w:w="22" w:type="dxa"/>
        </w:trPr>
        <w:tc>
          <w:tcPr>
            <w:tcW w:w="3369" w:type="pct"/>
            <w:tcBorders>
              <w:top w:val="outset" w:sz="6" w:space="0" w:color="auto"/>
              <w:bottom w:val="outset" w:sz="6" w:space="0" w:color="auto"/>
              <w:right w:val="outset" w:sz="6" w:space="0" w:color="auto"/>
            </w:tcBorders>
          </w:tcPr>
          <w:p w:rsidR="005B7D87" w:rsidRPr="00836DD3" w:rsidRDefault="005B7D87"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5B7D87" w:rsidRPr="00836DD3" w:rsidRDefault="005B7D87"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5B7D87" w:rsidRPr="00836DD3" w:rsidRDefault="005B7D87" w:rsidP="007B2C04">
            <w:pPr>
              <w:jc w:val="center"/>
              <w:rPr>
                <w:sz w:val="20"/>
                <w:lang w:val="uk-UA"/>
              </w:rPr>
            </w:pPr>
            <w:r w:rsidRPr="00836DD3">
              <w:rPr>
                <w:sz w:val="20"/>
                <w:lang w:val="uk-UA"/>
              </w:rPr>
              <w:t>0</w:t>
            </w:r>
          </w:p>
        </w:tc>
      </w:tr>
    </w:tbl>
    <w:p w:rsidR="005B7D87" w:rsidRPr="00836DD3" w:rsidRDefault="005B7D87" w:rsidP="00DB298F">
      <w:pPr>
        <w:ind w:firstLine="708"/>
        <w:jc w:val="both"/>
        <w:rPr>
          <w:sz w:val="20"/>
          <w:lang w:val="uk-UA"/>
        </w:rPr>
      </w:pPr>
    </w:p>
    <w:p w:rsidR="005B7D87" w:rsidRPr="006608DB" w:rsidRDefault="005B7D87"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5B7D87" w:rsidRPr="006608DB"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87" w:rsidRDefault="005B7D87" w:rsidP="00B917D3">
      <w:r>
        <w:separator/>
      </w:r>
    </w:p>
  </w:endnote>
  <w:endnote w:type="continuationSeparator" w:id="0">
    <w:p w:rsidR="005B7D87" w:rsidRDefault="005B7D87"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87" w:rsidRPr="00725DF8" w:rsidRDefault="005B7D87" w:rsidP="00725DF8">
    <w:pPr>
      <w:pStyle w:val="Footer"/>
      <w:rPr>
        <w:lang w:val="uk-UA"/>
      </w:rPr>
    </w:pPr>
  </w:p>
  <w:p w:rsidR="005B7D87" w:rsidRDefault="005B7D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87" w:rsidRDefault="005B7D87" w:rsidP="00B917D3">
      <w:r>
        <w:separator/>
      </w:r>
    </w:p>
  </w:footnote>
  <w:footnote w:type="continuationSeparator" w:id="0">
    <w:p w:rsidR="005B7D87" w:rsidRDefault="005B7D87"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4">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8">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8"/>
  </w:num>
  <w:num w:numId="7">
    <w:abstractNumId w:val="11"/>
  </w:num>
  <w:num w:numId="8">
    <w:abstractNumId w:val="15"/>
  </w:num>
  <w:num w:numId="9">
    <w:abstractNumId w:val="8"/>
  </w:num>
  <w:num w:numId="10">
    <w:abstractNumId w:val="10"/>
  </w:num>
  <w:num w:numId="11">
    <w:abstractNumId w:val="21"/>
  </w:num>
  <w:num w:numId="12">
    <w:abstractNumId w:val="1"/>
  </w:num>
  <w:num w:numId="13">
    <w:abstractNumId w:val="9"/>
  </w:num>
  <w:num w:numId="14">
    <w:abstractNumId w:val="0"/>
  </w:num>
  <w:num w:numId="15">
    <w:abstractNumId w:val="22"/>
  </w:num>
  <w:num w:numId="16">
    <w:abstractNumId w:val="13"/>
  </w:num>
  <w:num w:numId="17">
    <w:abstractNumId w:val="3"/>
  </w:num>
  <w:num w:numId="18">
    <w:abstractNumId w:val="14"/>
  </w:num>
  <w:num w:numId="19">
    <w:abstractNumId w:val="12"/>
  </w:num>
  <w:num w:numId="20">
    <w:abstractNumId w:val="6"/>
  </w:num>
  <w:num w:numId="21">
    <w:abstractNumId w:val="19"/>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5D5F"/>
    <w:rsid w:val="00066C05"/>
    <w:rsid w:val="00077FCC"/>
    <w:rsid w:val="00080867"/>
    <w:rsid w:val="00081E44"/>
    <w:rsid w:val="000838DF"/>
    <w:rsid w:val="00083EEC"/>
    <w:rsid w:val="00084918"/>
    <w:rsid w:val="00090838"/>
    <w:rsid w:val="00090E67"/>
    <w:rsid w:val="0009290C"/>
    <w:rsid w:val="000A4A0B"/>
    <w:rsid w:val="000B1368"/>
    <w:rsid w:val="000B54CE"/>
    <w:rsid w:val="000B58E9"/>
    <w:rsid w:val="000B69C5"/>
    <w:rsid w:val="000C01F8"/>
    <w:rsid w:val="000C034C"/>
    <w:rsid w:val="000D0207"/>
    <w:rsid w:val="000E0A08"/>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87BE9"/>
    <w:rsid w:val="0019046D"/>
    <w:rsid w:val="00195228"/>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32AF8"/>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3751"/>
    <w:rsid w:val="002E5D6C"/>
    <w:rsid w:val="002E5FF3"/>
    <w:rsid w:val="002F00EF"/>
    <w:rsid w:val="002F0315"/>
    <w:rsid w:val="002F386B"/>
    <w:rsid w:val="002F4490"/>
    <w:rsid w:val="002F6F93"/>
    <w:rsid w:val="00304767"/>
    <w:rsid w:val="0030596F"/>
    <w:rsid w:val="003067A1"/>
    <w:rsid w:val="003141B5"/>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0643F"/>
    <w:rsid w:val="0051092F"/>
    <w:rsid w:val="005144F4"/>
    <w:rsid w:val="00525D39"/>
    <w:rsid w:val="00526039"/>
    <w:rsid w:val="00537941"/>
    <w:rsid w:val="005417B9"/>
    <w:rsid w:val="00551F30"/>
    <w:rsid w:val="005523BC"/>
    <w:rsid w:val="005523FC"/>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D87"/>
    <w:rsid w:val="005B7E01"/>
    <w:rsid w:val="005C168D"/>
    <w:rsid w:val="005C1B46"/>
    <w:rsid w:val="005C3D02"/>
    <w:rsid w:val="005C4669"/>
    <w:rsid w:val="005C6469"/>
    <w:rsid w:val="005C66B8"/>
    <w:rsid w:val="005D3A9B"/>
    <w:rsid w:val="005E03D1"/>
    <w:rsid w:val="005E2D32"/>
    <w:rsid w:val="005E6B49"/>
    <w:rsid w:val="005F0868"/>
    <w:rsid w:val="005F4817"/>
    <w:rsid w:val="005F65D3"/>
    <w:rsid w:val="005F6DD9"/>
    <w:rsid w:val="00600A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57A8"/>
    <w:rsid w:val="00666D75"/>
    <w:rsid w:val="00673331"/>
    <w:rsid w:val="00677158"/>
    <w:rsid w:val="0068363D"/>
    <w:rsid w:val="00685EA8"/>
    <w:rsid w:val="0069066C"/>
    <w:rsid w:val="00692CF2"/>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17E2"/>
    <w:rsid w:val="00715120"/>
    <w:rsid w:val="00716F63"/>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606D2"/>
    <w:rsid w:val="00760C2C"/>
    <w:rsid w:val="0076499A"/>
    <w:rsid w:val="00766726"/>
    <w:rsid w:val="00780713"/>
    <w:rsid w:val="00780EC6"/>
    <w:rsid w:val="00787812"/>
    <w:rsid w:val="0079197C"/>
    <w:rsid w:val="007932D4"/>
    <w:rsid w:val="00796875"/>
    <w:rsid w:val="00797DC0"/>
    <w:rsid w:val="007A14F7"/>
    <w:rsid w:val="007A1F73"/>
    <w:rsid w:val="007B0D8F"/>
    <w:rsid w:val="007B2C04"/>
    <w:rsid w:val="007B4476"/>
    <w:rsid w:val="007B7F0A"/>
    <w:rsid w:val="007D0230"/>
    <w:rsid w:val="007D277B"/>
    <w:rsid w:val="007E6751"/>
    <w:rsid w:val="007F5EE1"/>
    <w:rsid w:val="007F77C1"/>
    <w:rsid w:val="007F7AFF"/>
    <w:rsid w:val="00801852"/>
    <w:rsid w:val="008060FF"/>
    <w:rsid w:val="008063A9"/>
    <w:rsid w:val="00807E81"/>
    <w:rsid w:val="00810D9F"/>
    <w:rsid w:val="008212D8"/>
    <w:rsid w:val="00823931"/>
    <w:rsid w:val="00825C29"/>
    <w:rsid w:val="00826053"/>
    <w:rsid w:val="00831593"/>
    <w:rsid w:val="008332D5"/>
    <w:rsid w:val="00833A9D"/>
    <w:rsid w:val="00836DD3"/>
    <w:rsid w:val="00842F35"/>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3B9D"/>
    <w:rsid w:val="00947A28"/>
    <w:rsid w:val="00953319"/>
    <w:rsid w:val="009627CD"/>
    <w:rsid w:val="00963F0D"/>
    <w:rsid w:val="0096660E"/>
    <w:rsid w:val="00971DCB"/>
    <w:rsid w:val="00973F88"/>
    <w:rsid w:val="00975064"/>
    <w:rsid w:val="00980EF7"/>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060"/>
    <w:rsid w:val="00A11140"/>
    <w:rsid w:val="00A215D6"/>
    <w:rsid w:val="00A2421F"/>
    <w:rsid w:val="00A276D7"/>
    <w:rsid w:val="00A3375F"/>
    <w:rsid w:val="00A353E4"/>
    <w:rsid w:val="00A3627A"/>
    <w:rsid w:val="00A375DA"/>
    <w:rsid w:val="00A43483"/>
    <w:rsid w:val="00A46E98"/>
    <w:rsid w:val="00A51765"/>
    <w:rsid w:val="00A51A6A"/>
    <w:rsid w:val="00A54DC3"/>
    <w:rsid w:val="00A574DB"/>
    <w:rsid w:val="00A61D77"/>
    <w:rsid w:val="00A665EA"/>
    <w:rsid w:val="00A807D9"/>
    <w:rsid w:val="00A81DC8"/>
    <w:rsid w:val="00A8227E"/>
    <w:rsid w:val="00A84702"/>
    <w:rsid w:val="00A8682D"/>
    <w:rsid w:val="00A95AF4"/>
    <w:rsid w:val="00A96E53"/>
    <w:rsid w:val="00A9700E"/>
    <w:rsid w:val="00AA7C90"/>
    <w:rsid w:val="00AB390F"/>
    <w:rsid w:val="00AB5382"/>
    <w:rsid w:val="00AB7118"/>
    <w:rsid w:val="00AC0515"/>
    <w:rsid w:val="00AC13CB"/>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6AFF"/>
    <w:rsid w:val="00BA7E66"/>
    <w:rsid w:val="00BC18D4"/>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3F8E"/>
    <w:rsid w:val="00EA5BCC"/>
    <w:rsid w:val="00EA5BEF"/>
    <w:rsid w:val="00EB198B"/>
    <w:rsid w:val="00EB3891"/>
    <w:rsid w:val="00EB413A"/>
    <w:rsid w:val="00EC3525"/>
    <w:rsid w:val="00ED3889"/>
    <w:rsid w:val="00ED5614"/>
    <w:rsid w:val="00EE40A9"/>
    <w:rsid w:val="00EE65C0"/>
    <w:rsid w:val="00F03482"/>
    <w:rsid w:val="00F05A2C"/>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834151685">
      <w:marLeft w:val="0"/>
      <w:marRight w:val="0"/>
      <w:marTop w:val="0"/>
      <w:marBottom w:val="0"/>
      <w:divBdr>
        <w:top w:val="none" w:sz="0" w:space="0" w:color="auto"/>
        <w:left w:val="none" w:sz="0" w:space="0" w:color="auto"/>
        <w:bottom w:val="none" w:sz="0" w:space="0" w:color="auto"/>
        <w:right w:val="none" w:sz="0" w:space="0" w:color="auto"/>
      </w:divBdr>
    </w:div>
    <w:div w:id="834151686">
      <w:marLeft w:val="0"/>
      <w:marRight w:val="0"/>
      <w:marTop w:val="0"/>
      <w:marBottom w:val="0"/>
      <w:divBdr>
        <w:top w:val="none" w:sz="0" w:space="0" w:color="auto"/>
        <w:left w:val="none" w:sz="0" w:space="0" w:color="auto"/>
        <w:bottom w:val="none" w:sz="0" w:space="0" w:color="auto"/>
        <w:right w:val="none" w:sz="0" w:space="0" w:color="auto"/>
      </w:divBdr>
    </w:div>
    <w:div w:id="834151687">
      <w:marLeft w:val="0"/>
      <w:marRight w:val="0"/>
      <w:marTop w:val="0"/>
      <w:marBottom w:val="0"/>
      <w:divBdr>
        <w:top w:val="none" w:sz="0" w:space="0" w:color="auto"/>
        <w:left w:val="none" w:sz="0" w:space="0" w:color="auto"/>
        <w:bottom w:val="none" w:sz="0" w:space="0" w:color="auto"/>
        <w:right w:val="none" w:sz="0" w:space="0" w:color="auto"/>
      </w:divBdr>
    </w:div>
    <w:div w:id="834151689">
      <w:marLeft w:val="0"/>
      <w:marRight w:val="0"/>
      <w:marTop w:val="0"/>
      <w:marBottom w:val="0"/>
      <w:divBdr>
        <w:top w:val="none" w:sz="0" w:space="0" w:color="auto"/>
        <w:left w:val="none" w:sz="0" w:space="0" w:color="auto"/>
        <w:bottom w:val="none" w:sz="0" w:space="0" w:color="auto"/>
        <w:right w:val="none" w:sz="0" w:space="0" w:color="auto"/>
      </w:divBdr>
      <w:divsChild>
        <w:div w:id="834151688">
          <w:marLeft w:val="0"/>
          <w:marRight w:val="0"/>
          <w:marTop w:val="0"/>
          <w:marBottom w:val="0"/>
          <w:divBdr>
            <w:top w:val="none" w:sz="0" w:space="0" w:color="auto"/>
            <w:left w:val="none" w:sz="0" w:space="0" w:color="auto"/>
            <w:bottom w:val="single" w:sz="12" w:space="1" w:color="auto"/>
            <w:right w:val="none" w:sz="0" w:space="0" w:color="auto"/>
          </w:divBdr>
        </w:div>
      </w:divsChild>
    </w:div>
    <w:div w:id="834151690">
      <w:marLeft w:val="0"/>
      <w:marRight w:val="0"/>
      <w:marTop w:val="0"/>
      <w:marBottom w:val="0"/>
      <w:divBdr>
        <w:top w:val="none" w:sz="0" w:space="0" w:color="auto"/>
        <w:left w:val="none" w:sz="0" w:space="0" w:color="auto"/>
        <w:bottom w:val="none" w:sz="0" w:space="0" w:color="auto"/>
        <w:right w:val="none" w:sz="0" w:space="0" w:color="auto"/>
      </w:divBdr>
    </w:div>
    <w:div w:id="834151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4</Pages>
  <Words>2074</Words>
  <Characters>11826</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11</cp:revision>
  <cp:lastPrinted>2020-03-20T11:30:00Z</cp:lastPrinted>
  <dcterms:created xsi:type="dcterms:W3CDTF">2021-04-30T15:45:00Z</dcterms:created>
  <dcterms:modified xsi:type="dcterms:W3CDTF">2025-11-02T08:14:00Z</dcterms:modified>
</cp:coreProperties>
</file>